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2CE68" w14:textId="77777777" w:rsidR="00312CE5" w:rsidRDefault="00084C96">
      <w:pPr>
        <w:spacing w:before="200" w:line="240" w:lineRule="auto"/>
        <w:jc w:val="center"/>
        <w:rPr>
          <w:i/>
        </w:rPr>
      </w:pPr>
      <w:r>
        <w:rPr>
          <w:b/>
          <w:sz w:val="24"/>
          <w:szCs w:val="24"/>
          <w:highlight w:val="white"/>
        </w:rPr>
        <w:t>La evolución de los pagos en Latinoamérica: perspectivas para 2024</w:t>
      </w:r>
    </w:p>
    <w:p w14:paraId="6292CE69" w14:textId="77777777" w:rsidR="00312CE5" w:rsidRDefault="00084C96">
      <w:pPr>
        <w:numPr>
          <w:ilvl w:val="0"/>
          <w:numId w:val="1"/>
        </w:numPr>
        <w:spacing w:before="200" w:line="240" w:lineRule="auto"/>
        <w:jc w:val="both"/>
        <w:rPr>
          <w:i/>
        </w:rPr>
      </w:pPr>
      <w:bookmarkStart w:id="0" w:name="_6wxidnl4i47a" w:colFirst="0" w:colLast="0"/>
      <w:bookmarkEnd w:id="0"/>
      <w:r>
        <w:rPr>
          <w:i/>
        </w:rPr>
        <w:t>Se anticipa un desarrollo continuo en el ecosistema financiero, con un enfoque especial en las regulaciones del mundo fintech y la interoperabilidad en pagos electrónicos en Latinoamérica.</w:t>
      </w:r>
    </w:p>
    <w:p w14:paraId="6292CE6A" w14:textId="29954854" w:rsidR="00312CE5" w:rsidRDefault="00084B34">
      <w:pPr>
        <w:spacing w:before="200" w:line="240" w:lineRule="auto"/>
        <w:jc w:val="both"/>
      </w:pPr>
      <w:r>
        <w:rPr>
          <w:b/>
        </w:rPr>
        <w:t>Bogotá</w:t>
      </w:r>
      <w:r w:rsidR="00084C96">
        <w:rPr>
          <w:b/>
        </w:rPr>
        <w:t xml:space="preserve">, 09 de enero de 2024.- </w:t>
      </w:r>
      <w:hyperlink r:id="rId7">
        <w:r w:rsidR="00084C96">
          <w:rPr>
            <w:color w:val="1155CC"/>
            <w:u w:val="single"/>
          </w:rPr>
          <w:t>Prometeo</w:t>
        </w:r>
      </w:hyperlink>
      <w:r w:rsidR="00084C96">
        <w:t>, fintech especializada en el desarrollo de infraestructura tecnológica, presenta los avances en la industria financiera a partir del balance y los aprendizajes del último año, proyectando un escenario prometedor en el cual el desarrollo continuo de los pagos, los avances de la regulación fintech y la interoperabilidad financiera serán protagonistas en los países latinoamericanos.</w:t>
      </w:r>
    </w:p>
    <w:p w14:paraId="6292CE6B" w14:textId="77777777" w:rsidR="00312CE5" w:rsidRDefault="00084C96">
      <w:pPr>
        <w:spacing w:before="200" w:line="240" w:lineRule="auto"/>
        <w:jc w:val="both"/>
      </w:pPr>
      <w:r>
        <w:t>En 2023 se experimentó una evolución significativa en la forma en que se realizan los pagos en la región, destacada por el crecimiento exponencial de las transferencias electrónicas. El éxito de PIX en Brasil, que registró 17.600 millones de operaciones con un valor cercano a 7.370 millones de reales brasileños (equivalentes a US$ 1.559 millones según datos del BCB), junto con los avances legislativos en países como Colombia, México, Chile y Brasil en torno al open banking y los pagos bancarios, marcó un punto de partida clave para lo que será el 2024 en la industria financiera de Latinoamérica.</w:t>
      </w:r>
    </w:p>
    <w:p w14:paraId="6292CE6C" w14:textId="77777777" w:rsidR="00312CE5" w:rsidRDefault="00084C96">
      <w:pPr>
        <w:spacing w:before="200" w:line="240" w:lineRule="auto"/>
        <w:jc w:val="both"/>
      </w:pPr>
      <w:r>
        <w:t xml:space="preserve">“En línea con esta tendencia, experimentamos un aumento del 200 % en el uso de nuestros productos, un 150 % en la conversión de nuestro producto de ‘pagos cuenta a cuenta’ y un aumento del 400% en la base de clientes el año pasado. Establecimos alianzas estratégicas con instituciones financieras y socios como V-Tex, Monnet, PayU y Monex. Además, lanzamos tres subproductos para los pagos por transferencia, incluyendo link de pagos, pagos con QR y </w:t>
      </w:r>
      <w:r>
        <w:rPr>
          <w:i/>
        </w:rPr>
        <w:t>checkout</w:t>
      </w:r>
      <w:r>
        <w:t xml:space="preserve"> de marca blanca, brindando soluciones eficientes a empresas en países como Uruguay y Perú. Estas innovaciones reflejan la creciente demanda de formas de pago ágiles y seguras, así como la necesidad de las empresas de reducir las comisiones asociadas con las transacciones”, explica Ximena Aleman, Co-Fundadora y Co-CEO de Prometeo.</w:t>
      </w:r>
    </w:p>
    <w:p w14:paraId="6292CE6D" w14:textId="77777777" w:rsidR="00312CE5" w:rsidRDefault="00084C96">
      <w:pPr>
        <w:spacing w:before="200" w:line="240" w:lineRule="auto"/>
        <w:jc w:val="both"/>
      </w:pPr>
      <w:r>
        <w:t>En un año que representó un avance significativo para la industria, la versatilidad de estas soluciones y su adaptación al diverso ecosistema financiero de Latinoamérica fueron fundamentales para la evolución tanto de las instituciones financieras y fintech como para las empresas que las implementaron en sus operaciones.</w:t>
      </w:r>
    </w:p>
    <w:p w14:paraId="6292CE6E" w14:textId="77777777" w:rsidR="00312CE5" w:rsidRDefault="00084C96">
      <w:pPr>
        <w:spacing w:before="200" w:line="240" w:lineRule="auto"/>
        <w:jc w:val="both"/>
        <w:rPr>
          <w:b/>
        </w:rPr>
      </w:pPr>
      <w:r>
        <w:rPr>
          <w:b/>
        </w:rPr>
        <w:t>Perspectivas de la industria para 2024:</w:t>
      </w:r>
    </w:p>
    <w:p w14:paraId="6292CE6F" w14:textId="77777777" w:rsidR="00312CE5" w:rsidRDefault="00084C96">
      <w:pPr>
        <w:spacing w:before="200" w:line="240" w:lineRule="auto"/>
        <w:jc w:val="both"/>
      </w:pPr>
      <w:r>
        <w:t>La compañía anticipa un desarrollo continuo de los pagos por transferencia bancaria, con un enfoque especial en las regulaciones del mundo fintech y la interoperabilidad en pagos electrónicos en Colombia, Perú, Chile y México. Además, se espera que Brasil lidere este camino expandiendo el modelo de PIX a otros países de la región.</w:t>
      </w:r>
    </w:p>
    <w:p w14:paraId="6292CE70" w14:textId="77777777" w:rsidR="00312CE5" w:rsidRDefault="00084C96">
      <w:pPr>
        <w:numPr>
          <w:ilvl w:val="0"/>
          <w:numId w:val="2"/>
        </w:numPr>
        <w:spacing w:before="200" w:line="240" w:lineRule="auto"/>
        <w:jc w:val="both"/>
      </w:pPr>
      <w:r>
        <w:rPr>
          <w:b/>
        </w:rPr>
        <w:t xml:space="preserve">Avance de los pagos cuenta a cuenta: </w:t>
      </w:r>
      <w:r>
        <w:t>se espera que la presencia de ‘pagos cuenta a cuenta’ aumente y se expanda a más países de Latinoamérica, con un enfoque en la mejora constante de la experiencia del usuario y una atención especial en los pagos B2B, considerados como un área crucial en la cadena de transacciones empresariales.</w:t>
      </w:r>
    </w:p>
    <w:p w14:paraId="6292CE71" w14:textId="77777777" w:rsidR="00312CE5" w:rsidRDefault="00084C96">
      <w:pPr>
        <w:numPr>
          <w:ilvl w:val="0"/>
          <w:numId w:val="2"/>
        </w:numPr>
        <w:spacing w:before="200" w:line="240" w:lineRule="auto"/>
        <w:jc w:val="both"/>
      </w:pPr>
      <w:r>
        <w:rPr>
          <w:b/>
        </w:rPr>
        <w:t>Cambios en la industria financiera:</w:t>
      </w:r>
      <w:r>
        <w:t xml:space="preserve"> en este 2024, las aperturas en el sector bancario y los avances regulatorios serán clave para impulsar oportunidades emergentes en nichos de mercado en crecimiento. La integración de tecnologías financieras se posiciona como una tendencia crucial que transformará la forma en que las entidades financieras se relacionan con sus clientes, especialmente al promover la </w:t>
      </w:r>
      <w:r>
        <w:lastRenderedPageBreak/>
        <w:t>interoperabilidad y resolver los desafíos clave de las organizaciones que operan entre los distintos sistemas financieros de la región.</w:t>
      </w:r>
    </w:p>
    <w:p w14:paraId="6292CE72" w14:textId="77777777" w:rsidR="00312CE5" w:rsidRDefault="00084C96">
      <w:pPr>
        <w:numPr>
          <w:ilvl w:val="0"/>
          <w:numId w:val="2"/>
        </w:numPr>
        <w:spacing w:before="200" w:line="240" w:lineRule="auto"/>
        <w:jc w:val="both"/>
      </w:pPr>
      <w:r>
        <w:rPr>
          <w:b/>
        </w:rPr>
        <w:t xml:space="preserve">Regulación de Open Banking: </w:t>
      </w:r>
      <w:r>
        <w:t>la apertura progresiva de las instituciones financieras será un tema de interés. Aunque las regulaciones siguen avanzando, hay casos de bancos que buscan abrirse, poniendo a disposición sus APIs incluso antes de que la normativa lo exija. Esto ofrece oportunidades cada vez más claras para la colaboración. Además, se observa un acercamiento gradual de los bancos centrales hacia las fintech, con interés en promover la iniciación de pagos y facilitar la integración con soluciones tecnológicas.</w:t>
      </w:r>
    </w:p>
    <w:p w14:paraId="6292CE73" w14:textId="77777777" w:rsidR="00312CE5" w:rsidRDefault="00084C96">
      <w:pPr>
        <w:spacing w:before="200" w:line="240" w:lineRule="auto"/>
        <w:jc w:val="both"/>
      </w:pPr>
      <w:r>
        <w:t>“En este 2024, nos enfocaremos en consolidar nuestra posición líder en soluciones financieras innovadoras, especialmente en los mercados de México y Brasil, mientras expandimos nuestra presencia a más países de Latinoamérica para facilitar la recepción de pagos cuenta a cuenta a nivel internacional. Para nosotros, la mejora continua de la experiencia del usuario es fundamental, especialmente en términos de conversión y seguridad, alineada con los más altos estándares internacionales. Por eso, pondremos un gran énfasis en potenciar la usabilidad de nuestros servicios, los métodos de protección y la optimización de la experiencia de pagos B2B, aspectos indispensables para las empresas de la región”, concluye Ximena Aleman, Co-Fundadora y Co-CEO de Prometeo.</w:t>
      </w:r>
    </w:p>
    <w:p w14:paraId="6292CE74" w14:textId="77777777" w:rsidR="00312CE5" w:rsidRDefault="00312CE5">
      <w:pPr>
        <w:spacing w:before="200" w:line="240" w:lineRule="auto"/>
        <w:jc w:val="both"/>
      </w:pPr>
    </w:p>
    <w:p w14:paraId="6292CE75" w14:textId="77777777" w:rsidR="00312CE5" w:rsidRDefault="00084C96">
      <w:pPr>
        <w:spacing w:before="200" w:line="240" w:lineRule="auto"/>
        <w:jc w:val="both"/>
        <w:rPr>
          <w:sz w:val="18"/>
          <w:szCs w:val="18"/>
        </w:rPr>
      </w:pPr>
      <w:r>
        <w:rPr>
          <w:b/>
          <w:sz w:val="18"/>
          <w:szCs w:val="18"/>
        </w:rPr>
        <w:t>Acerca de Prometeo:</w:t>
      </w:r>
    </w:p>
    <w:p w14:paraId="6292CE76" w14:textId="77777777" w:rsidR="00312CE5" w:rsidRDefault="00084C96">
      <w:pPr>
        <w:spacing w:before="200" w:line="240" w:lineRule="auto"/>
        <w:jc w:val="both"/>
        <w:rPr>
          <w:sz w:val="18"/>
          <w:szCs w:val="18"/>
        </w:rPr>
      </w:pPr>
      <w:r>
        <w:rPr>
          <w:sz w:val="18"/>
          <w:szCs w:val="18"/>
        </w:rPr>
        <w:t>Prometeo es una fintech especializada en el desarrollo de infraestructura tecnológica, con especial foco en APIs bancarias. A través de su API provee un único punto de acceso a información y pagos en 283 instituciones financieras y 368 APIs en 10 países de la región. Más información en www.prometeoapi.com</w:t>
      </w:r>
    </w:p>
    <w:sectPr w:rsidR="00312CE5">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EBB2F" w14:textId="77777777" w:rsidR="000C1F22" w:rsidRDefault="000C1F22">
      <w:pPr>
        <w:spacing w:line="240" w:lineRule="auto"/>
      </w:pPr>
      <w:r>
        <w:separator/>
      </w:r>
    </w:p>
  </w:endnote>
  <w:endnote w:type="continuationSeparator" w:id="0">
    <w:p w14:paraId="4389A4AB" w14:textId="77777777" w:rsidR="000C1F22" w:rsidRDefault="000C1F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AA1E6" w14:textId="77777777" w:rsidR="000C1F22" w:rsidRDefault="000C1F22">
      <w:pPr>
        <w:spacing w:line="240" w:lineRule="auto"/>
      </w:pPr>
      <w:r>
        <w:separator/>
      </w:r>
    </w:p>
  </w:footnote>
  <w:footnote w:type="continuationSeparator" w:id="0">
    <w:p w14:paraId="36734BC0" w14:textId="77777777" w:rsidR="000C1F22" w:rsidRDefault="000C1F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CE77" w14:textId="77777777" w:rsidR="00312CE5" w:rsidRDefault="00084C96">
    <w:pPr>
      <w:tabs>
        <w:tab w:val="center" w:pos="4419"/>
        <w:tab w:val="right" w:pos="8838"/>
      </w:tabs>
      <w:spacing w:line="240" w:lineRule="auto"/>
    </w:pPr>
    <w:r>
      <w:rPr>
        <w:rFonts w:ascii="Calibri" w:eastAsia="Calibri" w:hAnsi="Calibri" w:cs="Calibri"/>
        <w:noProof/>
      </w:rPr>
      <w:drawing>
        <wp:inline distT="114300" distB="114300" distL="114300" distR="114300" wp14:anchorId="6292CE78" wp14:editId="6292CE79">
          <wp:extent cx="1905000" cy="5524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35000" b="36000"/>
                  <a:stretch>
                    <a:fillRect/>
                  </a:stretch>
                </pic:blipFill>
                <pic:spPr>
                  <a:xfrm>
                    <a:off x="0" y="0"/>
                    <a:ext cx="1905000" cy="5524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77516"/>
    <w:multiLevelType w:val="multilevel"/>
    <w:tmpl w:val="47469D8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504292F"/>
    <w:multiLevelType w:val="multilevel"/>
    <w:tmpl w:val="395E46A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04040170">
    <w:abstractNumId w:val="1"/>
  </w:num>
  <w:num w:numId="2" w16cid:durableId="1756435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CE5"/>
    <w:rsid w:val="00084B34"/>
    <w:rsid w:val="00084C96"/>
    <w:rsid w:val="000C1F22"/>
    <w:rsid w:val="00312CE5"/>
    <w:rsid w:val="00826F10"/>
    <w:rsid w:val="00A473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2CE68"/>
  <w15:docId w15:val="{7918C78A-667F-40D6-ADC3-F345B71A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meteoap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815</Words>
  <Characters>4484</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Giancarlo</cp:lastModifiedBy>
  <cp:revision>4</cp:revision>
  <dcterms:created xsi:type="dcterms:W3CDTF">2024-01-08T00:54:00Z</dcterms:created>
  <dcterms:modified xsi:type="dcterms:W3CDTF">2024-02-14T18:24:00Z</dcterms:modified>
</cp:coreProperties>
</file>